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7A509F9D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C497D17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41B15AED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8361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F9AC6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009A29B1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9FB0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03FF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1D8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927A2B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F188D0F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E19A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2A6C12C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7D2E8C3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83BD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CC94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07C01677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8424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2810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D5D2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5ACEE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6D3F28C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A7C9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BFA90E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6951AD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132D9A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7F6779C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C9E6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B25CDF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45A63B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AB0B4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CDD79DC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76F1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CBF6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6F52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806EDC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C8F1B7A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798C31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811ED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Ludvigh </w:t>
            </w:r>
            <w:proofErr w:type="spellStart"/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Cintulová</w:t>
            </w:r>
            <w:proofErr w:type="spellEnd"/>
          </w:p>
        </w:tc>
        <w:tc>
          <w:tcPr>
            <w:tcW w:w="160" w:type="dxa"/>
            <w:vAlign w:val="center"/>
          </w:tcPr>
          <w:p w14:paraId="46894E5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D4E8F2B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91DCFD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BA5D1E" w14:textId="77777777" w:rsidR="00497E8F" w:rsidRDefault="007E1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Lucia</w:t>
            </w:r>
          </w:p>
        </w:tc>
        <w:tc>
          <w:tcPr>
            <w:tcW w:w="160" w:type="dxa"/>
            <w:vAlign w:val="center"/>
          </w:tcPr>
          <w:p w14:paraId="539319B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21105FC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9D750F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A0699" w14:textId="77777777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mim.pr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6EBE08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8B62E0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1F932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5DFE4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AD0A89" w:rsidRPr="00C956B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https://www.portalvs.sk/regzam/detail/17773</w:t>
              </w:r>
            </w:hyperlink>
          </w:p>
        </w:tc>
        <w:tc>
          <w:tcPr>
            <w:tcW w:w="160" w:type="dxa"/>
            <w:vAlign w:val="center"/>
          </w:tcPr>
          <w:p w14:paraId="10F127A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34EF215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5CF51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33DC75" w14:textId="34803C5D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</w:t>
            </w:r>
            <w:r w:rsidR="002268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I., II</w:t>
            </w:r>
            <w:r w:rsidR="002268D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0D7C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599D519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9670AD6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6A9D145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CDFC0A" w14:textId="77777777" w:rsidR="00497E8F" w:rsidRDefault="009D7031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pedagogický</w:t>
            </w:r>
            <w:r w:rsidR="00270EC5"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pedagogi</w:t>
            </w:r>
            <w:r w:rsidR="0020559A">
              <w:rPr>
                <w:sz w:val="16"/>
                <w:szCs w:val="16"/>
              </w:rPr>
              <w:t>cal</w:t>
            </w:r>
            <w:proofErr w:type="spellEnd"/>
            <w:r w:rsidR="00270EC5">
              <w:rPr>
                <w:sz w:val="16"/>
                <w:szCs w:val="16"/>
              </w:rPr>
              <w:t xml:space="preserve"> </w:t>
            </w:r>
            <w:r w:rsidR="00270EC5">
              <w:rPr>
                <w:rFonts w:cstheme="minorHAnsi"/>
                <w:bCs/>
                <w:sz w:val="16"/>
              </w:rPr>
              <w:t>output</w:t>
            </w:r>
          </w:p>
          <w:p w14:paraId="684AF066" w14:textId="77777777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1DF575BD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6CB290B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064D8D7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177083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4410FB" w14:textId="77777777" w:rsidR="00497E8F" w:rsidRPr="004E35D2" w:rsidRDefault="00EA1D8B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202</w:t>
            </w:r>
            <w:r w:rsidR="004E35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60" w:type="dxa"/>
            <w:vAlign w:val="center"/>
          </w:tcPr>
          <w:p w14:paraId="1D4C3A4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394DAF77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DF6D2D" w14:textId="77777777" w:rsidR="004E35D2" w:rsidRDefault="00000000" w:rsidP="004E35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E35D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E3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6C0C40" w14:textId="77777777" w:rsidR="004E35D2" w:rsidRDefault="009D7031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D7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484086</w:t>
            </w:r>
          </w:p>
        </w:tc>
        <w:tc>
          <w:tcPr>
            <w:tcW w:w="160" w:type="dxa"/>
            <w:vAlign w:val="center"/>
          </w:tcPr>
          <w:p w14:paraId="491EAFDE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1E5A899B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513D92" w14:textId="77777777" w:rsidR="004E35D2" w:rsidRDefault="00000000" w:rsidP="004E35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E3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B405F8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8" w:history="1">
              <w:r w:rsidR="009D7031" w:rsidRPr="00D719AD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https://app.crepc.sk/?fn=detailBiblioForm&amp;sid=B611F6F3E965C809E5766403A9</w:t>
              </w:r>
            </w:hyperlink>
          </w:p>
        </w:tc>
        <w:tc>
          <w:tcPr>
            <w:tcW w:w="160" w:type="dxa"/>
            <w:vAlign w:val="center"/>
          </w:tcPr>
          <w:p w14:paraId="7455E5B7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509DF" w14:paraId="5A914075" w14:textId="77777777" w:rsidTr="001B47F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25DB6FC" w14:textId="77777777" w:rsidR="004509DF" w:rsidRDefault="004509DF" w:rsidP="00450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419373" w14:textId="77777777" w:rsidR="004509DF" w:rsidRDefault="00000000" w:rsidP="004509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509D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C27B91" w14:textId="77777777" w:rsidR="004509DF" w:rsidRDefault="004509DF" w:rsidP="00450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60B4CE1" w14:textId="77777777" w:rsidR="004509DF" w:rsidRDefault="004509DF" w:rsidP="00450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509DF" w14:paraId="267DB372" w14:textId="77777777" w:rsidTr="001B47F2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2B7DA" w14:textId="77777777" w:rsidR="004509DF" w:rsidRDefault="004509DF" w:rsidP="00450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333D687" w14:textId="77777777" w:rsidR="004509DF" w:rsidRDefault="004509DF" w:rsidP="00450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B9B296" w14:textId="6DE289BE" w:rsidR="004509DF" w:rsidRPr="00C51259" w:rsidRDefault="00C51259" w:rsidP="00450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C512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ID: 484086 | Systém sociálneho zabezpečenia v línii sociálneho poistenia a dávkového systému na Slovensku [učebnica pre vysoké školy] / </w:t>
            </w:r>
            <w:proofErr w:type="spellStart"/>
            <w:r w:rsidRPr="00C512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Ludvigh</w:t>
            </w:r>
            <w:proofErr w:type="spellEnd"/>
            <w:r w:rsidRPr="00C512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512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Cintulová</w:t>
            </w:r>
            <w:proofErr w:type="spellEnd"/>
            <w:r w:rsidRPr="00C512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, Lucia [Autor, 100%] ; Bučko, Ladislav [Recenzent] ; </w:t>
            </w:r>
            <w:proofErr w:type="spellStart"/>
            <w:r w:rsidRPr="00C512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Radková</w:t>
            </w:r>
            <w:proofErr w:type="spellEnd"/>
            <w:r w:rsidRPr="00C5125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, Libuša [Recenzent]. – 1. vyd. – Bratislava (Slovensko) : Vysoká škola zdravotníctva a sociálnej práce sv. Alžbety v Bratislave, 2022. – 90 s. – ISBN 978-80-8132-246-4</w:t>
            </w:r>
          </w:p>
        </w:tc>
        <w:tc>
          <w:tcPr>
            <w:tcW w:w="160" w:type="dxa"/>
            <w:vAlign w:val="center"/>
          </w:tcPr>
          <w:p w14:paraId="5D051183" w14:textId="77777777" w:rsidR="004509DF" w:rsidRDefault="004509DF" w:rsidP="00450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4B489BBC" w14:textId="77777777" w:rsidTr="002F510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9E29F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7657CF2A" w14:textId="77777777" w:rsidR="004E35D2" w:rsidRPr="0083744F" w:rsidRDefault="004509DF" w:rsidP="004509DF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CA12. Typ výstupu (ak nie je výstup registrovaný v CREPČ alebo CREUČ) / Type of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output (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CRPA or CRAA)</w:t>
            </w:r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br/>
              <w:t xml:space="preserve">Výber zo 67 možností (pozri Vysvetlivky k položke OCA12) /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Choice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67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options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see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Explanations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B3838F" w14:textId="77777777" w:rsidR="004E35D2" w:rsidRDefault="009D7031" w:rsidP="004E35D2">
            <w:pPr>
              <w:pStyle w:val="Textpoznmkypodiarou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Vysokoškolská učebnica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</w:p>
          <w:p w14:paraId="7ECABDD1" w14:textId="77777777" w:rsidR="004E35D2" w:rsidRPr="0083744F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2E0F5F5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83019A0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B4C12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F2210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EA2F96" w14:textId="77777777" w:rsidR="00497E8F" w:rsidRPr="00EA1D8B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B3054C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5221D31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53DAB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AF5FA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BB3A94" w14:textId="77777777" w:rsidR="00497E8F" w:rsidRDefault="00270EC5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Ludivigh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 </w:t>
            </w:r>
            <w:proofErr w:type="spellStart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3744F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10</w:t>
            </w:r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0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Ludvigh</w:t>
            </w:r>
            <w:proofErr w:type="spellEnd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Cintulová</w:t>
            </w:r>
            <w:proofErr w:type="spellEnd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83744F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10</w:t>
            </w:r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0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%</w:t>
            </w:r>
            <w:r w:rsidR="004E35D2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</w:p>
          <w:p w14:paraId="42C339E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691096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8295F02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6AECD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92CCBA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8ED0EB" w14:textId="77777777" w:rsidR="001626E5" w:rsidRDefault="004765C8" w:rsidP="001626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v spracovaní: </w:t>
            </w:r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politika, sociálne zabezpečenie na Slovensku a v krajinách V4, financovanie, </w:t>
            </w:r>
          </w:p>
          <w:p w14:paraId="4FF180C4" w14:textId="4CD7A546" w:rsidR="00680DFD" w:rsidRDefault="00680DFD" w:rsidP="001626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analyzuje vývoj systému sociálneho zabezpečenie v kontexte sociálnej politiky a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komparuje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716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 so systémami v krajinách V4</w:t>
            </w:r>
            <w:r w:rsid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podnecuje k diskusii v otázkach sociálnej politiky študentov, laickú, vedeckú i odbornú verejnosť. </w:t>
            </w:r>
          </w:p>
          <w:p w14:paraId="7EE5BE49" w14:textId="77777777" w:rsidR="00680DFD" w:rsidRPr="00680DFD" w:rsidRDefault="00680DFD" w:rsidP="00680D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V4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financing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</w:p>
          <w:p w14:paraId="59D5B764" w14:textId="77777777" w:rsidR="00680DFD" w:rsidRDefault="00680DFD" w:rsidP="00680D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context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V4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4EC1E39D" w14:textId="4067A4BA" w:rsidR="00D27458" w:rsidRDefault="00D27458" w:rsidP="00680D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analyzes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context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compares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systems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V4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encouraging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lay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discuss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issues</w:t>
            </w:r>
            <w:proofErr w:type="spellEnd"/>
            <w:r w:rsidRPr="00D274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F45E9D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120F0ED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62EB1A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626361" w14:textId="77777777" w:rsidR="004765C8" w:rsidRPr="00680DFD" w:rsidRDefault="004765C8" w:rsidP="004765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programme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will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acquire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theoretical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mastering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origin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purpose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administration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financing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meaning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get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orientation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 and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V4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acquire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performance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regard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</w:t>
            </w:r>
          </w:p>
          <w:p w14:paraId="218B68EA" w14:textId="77777777" w:rsidR="007766D2" w:rsidRPr="004E35D2" w:rsidRDefault="004765C8" w:rsidP="004765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European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priorities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values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inclusion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employment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elimination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European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citizens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C44A95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0BA26CE1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7C7A637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405808" w14:textId="77777777" w:rsidR="004E35D2" w:rsidRDefault="004E35D2" w:rsidP="004E35D2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C7E12C1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755D7F7D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137A377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87011D" w14:textId="54E2E296" w:rsidR="004765C8" w:rsidRPr="004765C8" w:rsidRDefault="004765C8" w:rsidP="004765C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sa zameriava na </w:t>
            </w:r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popis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vývoj</w:t>
            </w:r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s</w:t>
            </w: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ociálne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ho</w:t>
            </w: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zabezpečeni</w:t>
            </w:r>
            <w:r w:rsidR="00680DFD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</w:t>
            </w: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ako súčasť sociálnej politiky predstavuje súbor právnych, finančných a organizačných nástrojov, ktorých cieľom je predchádzať, zmierňovať a odstraňovať následky uznaných sociálnych udalostí občanov. Konkrétne sociálne udalosti </w:t>
            </w:r>
          </w:p>
          <w:p w14:paraId="1C42C387" w14:textId="03A9643D" w:rsidR="004E35D2" w:rsidRPr="00680DFD" w:rsidRDefault="004765C8" w:rsidP="00680DFD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rozoberáme v jednotlivých kapitolách, pričom vychádza z aktuálnej právnej úpravy zákona č. </w:t>
            </w:r>
            <w:r w:rsidRPr="006E69B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461/2003 Z.z o sociálnom poistení. </w:t>
            </w:r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Osobitný dôraz sme kládli na historický prierez vývoja sociálneho zabezpečenie nielen vo svete ale hlavne slovenského štátu, čo môže byť prínosom a </w:t>
            </w:r>
            <w:r w:rsidR="00680DFD" w:rsidRPr="00680DFD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obohatením pre budúcich sociálnych pracovníkov</w:t>
            </w:r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, laickú, odbornú i vedeckú obec</w:t>
            </w:r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4853CD9C" w14:textId="22689DF9" w:rsidR="00680DFD" w:rsidRPr="00680DFD" w:rsidRDefault="00680DFD" w:rsidP="00680DFD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focuses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security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part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policy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represents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set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legal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financial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tools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aim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prevent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mitigate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eliminate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consequences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recognized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events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citizens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Specifically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events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discussed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individual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chapters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current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legislation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Act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no. 461/2003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Coll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on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insurance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placed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special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emphasis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historical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cross-section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security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only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world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mainly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Slovak state,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can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beneficial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enriching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future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can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have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positive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laic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profesionals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researchers</w:t>
            </w:r>
            <w:proofErr w:type="spellEnd"/>
            <w:r w:rsidR="00D2745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203C305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343E838D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EF0D519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2BEF22" w14:textId="269B883E" w:rsidR="004E35D2" w:rsidRDefault="004765C8" w:rsidP="004765C8">
            <w:pPr>
              <w:spacing w:after="0" w:line="240" w:lineRule="auto"/>
              <w:jc w:val="both"/>
            </w:pPr>
            <w:r w:rsidRPr="004765C8">
              <w:rPr>
                <w:sz w:val="16"/>
                <w:szCs w:val="16"/>
              </w:rPr>
              <w:t>Vysokoškolská učebnica je určená pre odbor sociálnej práce</w:t>
            </w:r>
            <w:r w:rsidR="006C1B5D">
              <w:rPr>
                <w:sz w:val="16"/>
                <w:szCs w:val="16"/>
              </w:rPr>
              <w:t xml:space="preserve"> nadväzuje na predmety úvod do sociálnej politiky, sociálne zabezpečenie a politika zamestnanosti</w:t>
            </w:r>
            <w:r w:rsidRPr="004765C8">
              <w:rPr>
                <w:sz w:val="16"/>
                <w:szCs w:val="16"/>
              </w:rPr>
              <w:t>, ktorá v sebe poskytuje analýzu vývoja sociálneho zabezpečenia v kontexte jeho podsystémov, ktoré tvoria sociálne poistenie, sociálna podpora a sociálna pomoc. Vysokoškolská učebnica svojím obsahom pripravuje budúcich sociálnych pracovníkov, aby boli schopní: - Definovať rozdiel medzi jednotlivými politikami. - Uviesť a vysvetliť podsystémy sociálneho zabezpečenia. - Vysvetliť základné pojmy, princípy a funkcie sociálneho zabezpečenia - Porozumieť vývoju sociálneho zabezpečenia na Slovensku a v okolitých krajinách. - Porozumieť fungovaniu sociálneho zabezpečenia v krajinách V4. - Implementovať nástroje, predmet a objekt sociálneho zabezpečenia do praxe v oblasti sociálnej práce. - Poskytnúť príklad neočakávanej, prirodzenej a nepriaznivej životnej situácie v jednotlivých fázach života človeka. - Navrhnúť nástroje na pomoc človeka, ktorý sa ocitol v nepriaznivej životnej situácií. - Vymenovať druhy sociálnych služieb a implementovať ich v bežnej praxi sociálnej práce ako nástroj sociálnej pomoci a podpory občanov na základe platnej legislatívy</w:t>
            </w:r>
            <w:r>
              <w:t>.</w:t>
            </w:r>
            <w:r w:rsidR="006C1B5D">
              <w:t xml:space="preserve"> </w:t>
            </w:r>
            <w:r w:rsidR="006C1B5D" w:rsidRPr="006C1B5D">
              <w:rPr>
                <w:sz w:val="18"/>
                <w:szCs w:val="18"/>
              </w:rPr>
              <w:t>Obohacuje i odbornú, laickú, vedeckú spoločnosť i študentov.</w:t>
            </w:r>
            <w:r w:rsidRPr="006C1B5D">
              <w:rPr>
                <w:sz w:val="18"/>
                <w:szCs w:val="18"/>
              </w:rPr>
              <w:t>/</w:t>
            </w:r>
          </w:p>
          <w:p w14:paraId="6881B707" w14:textId="3916E322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intended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follows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introduction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employment</w:t>
            </w:r>
            <w:proofErr w:type="spellEnd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C1B5D"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itself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context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sub-systems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insurance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own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content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to:</w:t>
            </w:r>
          </w:p>
          <w:p w14:paraId="535772EA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Define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difference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systems</w:t>
            </w:r>
            <w:proofErr w:type="spellEnd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policies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5CE06002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State and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explain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subsystems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26D0273C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Explain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concepts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</w:p>
          <w:p w14:paraId="1A7E01F7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 and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surrounding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6F1E1A0C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functioning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V4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70DA3CD6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Implement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object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80D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</w:p>
          <w:p w14:paraId="7F5CCEF5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267C7887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example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unexpected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natural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</w:p>
          <w:p w14:paraId="10289FB3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in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phases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person's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0183428A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Design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person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himself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unfavorable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</w:p>
          <w:p w14:paraId="239C5791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3FD80854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List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implement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everyday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</w:p>
          <w:p w14:paraId="5DC45BC3" w14:textId="77777777" w:rsidR="004765C8" w:rsidRP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assistance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citizens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</w:t>
            </w:r>
          </w:p>
          <w:p w14:paraId="6E1FDE9F" w14:textId="77777777" w:rsidR="004765C8" w:rsidRDefault="004765C8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applicable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legislation</w:t>
            </w:r>
            <w:proofErr w:type="spellEnd"/>
            <w:r w:rsidRPr="004765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510136E2" w14:textId="76899853" w:rsidR="006C1B5D" w:rsidRDefault="006C1B5D" w:rsidP="004765C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enriches</w:t>
            </w:r>
            <w:proofErr w:type="spellEnd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lay</w:t>
            </w:r>
            <w:proofErr w:type="spellEnd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society and </w:t>
            </w:r>
            <w:proofErr w:type="spellStart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6C1B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6A35D49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D497D61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11F42" w14:textId="77777777" w:rsidR="006C758F" w:rsidRDefault="006C758F">
      <w:pPr>
        <w:spacing w:line="240" w:lineRule="auto"/>
      </w:pPr>
      <w:r>
        <w:separator/>
      </w:r>
    </w:p>
  </w:endnote>
  <w:endnote w:type="continuationSeparator" w:id="0">
    <w:p w14:paraId="355CA315" w14:textId="77777777" w:rsidR="006C758F" w:rsidRDefault="006C7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E3D7" w14:textId="77777777" w:rsidR="006C758F" w:rsidRDefault="006C758F">
      <w:pPr>
        <w:spacing w:after="0"/>
      </w:pPr>
      <w:r>
        <w:separator/>
      </w:r>
    </w:p>
  </w:footnote>
  <w:footnote w:type="continuationSeparator" w:id="0">
    <w:p w14:paraId="27DC64C2" w14:textId="77777777" w:rsidR="006C758F" w:rsidRDefault="006C75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4A3F"/>
    <w:rsid w:val="00071544"/>
    <w:rsid w:val="00096A2A"/>
    <w:rsid w:val="000D7CD3"/>
    <w:rsid w:val="000F2BAC"/>
    <w:rsid w:val="00126172"/>
    <w:rsid w:val="001626E5"/>
    <w:rsid w:val="00190A9C"/>
    <w:rsid w:val="001E32A6"/>
    <w:rsid w:val="0020559A"/>
    <w:rsid w:val="00211BB7"/>
    <w:rsid w:val="002268D0"/>
    <w:rsid w:val="00270EC5"/>
    <w:rsid w:val="003971C7"/>
    <w:rsid w:val="004031A0"/>
    <w:rsid w:val="00425285"/>
    <w:rsid w:val="004509DF"/>
    <w:rsid w:val="004765C8"/>
    <w:rsid w:val="00482CB2"/>
    <w:rsid w:val="00497E8F"/>
    <w:rsid w:val="004A13DC"/>
    <w:rsid w:val="004C0ADE"/>
    <w:rsid w:val="004E35D2"/>
    <w:rsid w:val="00544CA5"/>
    <w:rsid w:val="0055260F"/>
    <w:rsid w:val="005653E5"/>
    <w:rsid w:val="00566017"/>
    <w:rsid w:val="00680DFD"/>
    <w:rsid w:val="006C1B5D"/>
    <w:rsid w:val="006C758F"/>
    <w:rsid w:val="006E21F9"/>
    <w:rsid w:val="006E69BF"/>
    <w:rsid w:val="0073261A"/>
    <w:rsid w:val="007766D2"/>
    <w:rsid w:val="007E1DDE"/>
    <w:rsid w:val="00821A06"/>
    <w:rsid w:val="008311D2"/>
    <w:rsid w:val="0083744F"/>
    <w:rsid w:val="009010F0"/>
    <w:rsid w:val="0092324B"/>
    <w:rsid w:val="00987C34"/>
    <w:rsid w:val="009922EF"/>
    <w:rsid w:val="009A7EFB"/>
    <w:rsid w:val="009D7031"/>
    <w:rsid w:val="00A63D8C"/>
    <w:rsid w:val="00A716E1"/>
    <w:rsid w:val="00AD0A89"/>
    <w:rsid w:val="00B11E9B"/>
    <w:rsid w:val="00B122C6"/>
    <w:rsid w:val="00B1521A"/>
    <w:rsid w:val="00BB6175"/>
    <w:rsid w:val="00BC342D"/>
    <w:rsid w:val="00C51259"/>
    <w:rsid w:val="00C61D10"/>
    <w:rsid w:val="00C7760E"/>
    <w:rsid w:val="00CA400E"/>
    <w:rsid w:val="00D27458"/>
    <w:rsid w:val="00D70112"/>
    <w:rsid w:val="00D7387E"/>
    <w:rsid w:val="00EA1D8B"/>
    <w:rsid w:val="00EC3B68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B786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51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8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7773" TargetMode="External"/><Relationship Id="rId18" Type="http://schemas.openxmlformats.org/officeDocument/2006/relationships/hyperlink" Target="https://app.crepc.sk/?fn=detailBiblioForm&amp;sid=B611F6F3E965C809E5766403A9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4</cp:revision>
  <dcterms:created xsi:type="dcterms:W3CDTF">2022-12-01T09:24:00Z</dcterms:created>
  <dcterms:modified xsi:type="dcterms:W3CDTF">2024-02-06T21:16:00Z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